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B5" w:rsidRDefault="00E95CB5">
      <w:bookmarkStart w:id="0" w:name="_heading=h.30j0zll" w:colFirst="0" w:colLast="0"/>
      <w:bookmarkEnd w:id="0"/>
    </w:p>
    <w:tbl>
      <w:tblPr>
        <w:tblStyle w:val="a1"/>
        <w:tblW w:w="87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6664"/>
        <w:gridCol w:w="1553"/>
      </w:tblGrid>
      <w:tr w:rsidR="00E95CB5">
        <w:tc>
          <w:tcPr>
            <w:tcW w:w="501" w:type="dxa"/>
            <w:vAlign w:val="center"/>
          </w:tcPr>
          <w:p w:rsidR="00E95CB5" w:rsidRDefault="00E95CB5">
            <w:pPr>
              <w:pStyle w:val="Rubrik2"/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4" w:type="dxa"/>
            <w:vAlign w:val="center"/>
          </w:tcPr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Närvarande: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Patrik Blomquist, Elisabet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Holtz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Johan Larsson, Nina Karlstedt, Charlotte (Py) Dalaryd, Annika Bruno Knutsson, Mikael Holmlund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Gäst: </w:t>
            </w:r>
            <w:r>
              <w:rPr>
                <w:rFonts w:ascii="Arial" w:eastAsia="Arial" w:hAnsi="Arial" w:cs="Arial"/>
                <w:sz w:val="22"/>
                <w:szCs w:val="22"/>
              </w:rPr>
              <w:t>Magnus Linde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Frånvarande: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Johan Claesson, Ulla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Bohmgren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Ylva Ericsson,</w:t>
            </w:r>
          </w:p>
        </w:tc>
        <w:tc>
          <w:tcPr>
            <w:tcW w:w="1553" w:type="dxa"/>
            <w:vAlign w:val="center"/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95CB5">
        <w:tc>
          <w:tcPr>
            <w:tcW w:w="501" w:type="dxa"/>
            <w:vAlign w:val="center"/>
          </w:tcPr>
          <w:p w:rsidR="00E95CB5" w:rsidRDefault="001C4952">
            <w:pPr>
              <w:pStyle w:val="Rubrik2"/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Nr</w:t>
            </w:r>
          </w:p>
        </w:tc>
        <w:tc>
          <w:tcPr>
            <w:tcW w:w="6664" w:type="dxa"/>
            <w:vAlign w:val="center"/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E95CB5" w:rsidRDefault="001C495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Klart senast; verkställs av; bilaga</w:t>
            </w:r>
          </w:p>
        </w:tc>
      </w:tr>
      <w:tr w:rsidR="00E95CB5">
        <w:tc>
          <w:tcPr>
            <w:tcW w:w="501" w:type="dxa"/>
          </w:tcPr>
          <w:p w:rsidR="00E95CB5" w:rsidRDefault="001C495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64" w:type="dxa"/>
          </w:tcPr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Möte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 öppnades </w:t>
            </w:r>
            <w:r>
              <w:rPr>
                <w:rFonts w:ascii="Arial" w:eastAsia="Arial" w:hAnsi="Arial" w:cs="Arial"/>
                <w:sz w:val="22"/>
                <w:szCs w:val="22"/>
              </w:rPr>
              <w:t>av Patrik Blomquist</w:t>
            </w:r>
          </w:p>
        </w:tc>
        <w:tc>
          <w:tcPr>
            <w:tcW w:w="1553" w:type="dxa"/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5CB5">
        <w:tc>
          <w:tcPr>
            <w:tcW w:w="501" w:type="dxa"/>
          </w:tcPr>
          <w:p w:rsidR="00E95CB5" w:rsidRDefault="001C495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664" w:type="dxa"/>
          </w:tcPr>
          <w:p w:rsidR="00E95CB5" w:rsidRDefault="001C495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sekreterare och justerare för mötet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Sekreterare: Annika Bruno Knutsson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Justerare: Py Dalaryd, Elisabet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Holtz</w:t>
            </w:r>
            <w:proofErr w:type="spellEnd"/>
          </w:p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5CB5">
        <w:tc>
          <w:tcPr>
            <w:tcW w:w="501" w:type="dxa"/>
          </w:tcPr>
          <w:p w:rsidR="00E95CB5" w:rsidRDefault="001C495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664" w:type="dxa"/>
          </w:tcPr>
          <w:p w:rsidR="00E95CB5" w:rsidRDefault="001C495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Gäst Magnus Linde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Magnus presenterar ett förslag om att Friluftsfrämjandet Lidingö ska finnas med på en almanacka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Rudboda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ICA, under 3 år, </w:t>
            </w:r>
            <w:r w:rsidR="003F5991">
              <w:rPr>
                <w:rFonts w:ascii="Arial" w:eastAsia="Arial" w:hAnsi="Arial" w:cs="Arial"/>
                <w:sz w:val="22"/>
                <w:szCs w:val="22"/>
              </w:rPr>
              <w:t>2021–2023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Bild av grenarna och text till varje månad. Tre personer bör vara ansvariga för genomförandet (Elisabet, Magnus och Anders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osswall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). Styrelsen ser positivt på förslaget men vill att Magnus tar reda på lite mer om projektet ang</w:t>
            </w:r>
            <w:r w:rsidR="003F5991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kostnader och tidsperspektiv mm.</w:t>
            </w:r>
          </w:p>
        </w:tc>
        <w:tc>
          <w:tcPr>
            <w:tcW w:w="1553" w:type="dxa"/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5CB5">
        <w:tc>
          <w:tcPr>
            <w:tcW w:w="501" w:type="dxa"/>
          </w:tcPr>
          <w:p w:rsidR="00E95CB5" w:rsidRDefault="001C495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64" w:type="dxa"/>
          </w:tcPr>
          <w:p w:rsidR="00E95CB5" w:rsidRDefault="001C495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Föregående mötesprotokoll 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Kvarstår från tidigare protokoll: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Om I Ur och Skur ska tex resa med ledare/personal kan </w:t>
            </w:r>
            <w:r>
              <w:rPr>
                <w:rFonts w:ascii="Arial" w:eastAsia="Arial" w:hAnsi="Arial" w:cs="Arial"/>
                <w:sz w:val="22"/>
                <w:szCs w:val="22"/>
              </w:rPr>
              <w:t>de begära större summa hos styrelsen som tar beslut.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Patrik ska köpa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PLB</w:t>
            </w:r>
            <w:proofErr w:type="spellEnd"/>
            <w:r w:rsidR="003F5991">
              <w:rPr>
                <w:rFonts w:ascii="Arial" w:eastAsia="Arial" w:hAnsi="Arial" w:cs="Arial"/>
                <w:sz w:val="22"/>
                <w:szCs w:val="22"/>
              </w:rPr>
              <w:t xml:space="preserve"> (nödsändare).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Administratörer för Facebook är Patrik och Micke. </w:t>
            </w:r>
          </w:p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Protokollet läggs därmed till handlingarna.</w:t>
            </w:r>
          </w:p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5CB5">
        <w:trPr>
          <w:trHeight w:val="520"/>
        </w:trPr>
        <w:tc>
          <w:tcPr>
            <w:tcW w:w="501" w:type="dxa"/>
          </w:tcPr>
          <w:p w:rsidR="00E95CB5" w:rsidRDefault="001C495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64" w:type="dxa"/>
          </w:tcPr>
          <w:p w:rsidR="00E95CB5" w:rsidRDefault="001C495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Ekonomin 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Elisabet redogör för ekonomin. 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Revisorn ska få de ekonomiska rapporterna inför årsmötet.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Styrelsen godkänner de belopp som överstiger 10 000 (bilaga).</w:t>
            </w:r>
          </w:p>
          <w:p w:rsidR="00E95CB5" w:rsidRDefault="001C4952">
            <w:pPr>
              <w:spacing w:before="144" w:after="144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Alpint har inga förpliktelser av att betala liftkort innan backen är igång. </w:t>
            </w:r>
          </w:p>
        </w:tc>
        <w:tc>
          <w:tcPr>
            <w:tcW w:w="1553" w:type="dxa"/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5CB5">
        <w:tc>
          <w:tcPr>
            <w:tcW w:w="501" w:type="dxa"/>
          </w:tcPr>
          <w:p w:rsidR="00E95CB5" w:rsidRDefault="001C495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664" w:type="dxa"/>
          </w:tcPr>
          <w:p w:rsidR="00E95CB5" w:rsidRDefault="001C4952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Information från Riks 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ch Regionen</w:t>
            </w: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Riks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Informerar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om marknadsföring. Även ny miljöpolicy ska ses över. 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Region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Regionstämma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18 april.</w:t>
            </w:r>
          </w:p>
        </w:tc>
        <w:tc>
          <w:tcPr>
            <w:tcW w:w="1553" w:type="dxa"/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5CB5">
        <w:tc>
          <w:tcPr>
            <w:tcW w:w="501" w:type="dxa"/>
          </w:tcPr>
          <w:p w:rsidR="00E95CB5" w:rsidRDefault="001C495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664" w:type="dxa"/>
          </w:tcPr>
          <w:p w:rsidR="00E95CB5" w:rsidRDefault="001C4952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Kommunen och Föreningsgården</w:t>
            </w: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Föreningsgården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– årsmöte 10 mars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15.00. Behov av fler personer i föreningsrådet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 kassör och ordförande.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Kommunen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sportlovsaktiviteter önskas till v 9. Till liknande höstlovsaktivitet förra året ordnades vandring. 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75F45" w:rsidRDefault="001C4952" w:rsidP="00975F45">
            <w:r>
              <w:rPr>
                <w:rFonts w:ascii="Arial" w:eastAsia="Arial" w:hAnsi="Arial" w:cs="Arial"/>
                <w:i/>
                <w:sz w:val="22"/>
                <w:szCs w:val="22"/>
              </w:rPr>
              <w:t>Kommunen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avfallsplan har skickats ut på mej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och </w:t>
            </w:r>
            <w:r w:rsidR="00975F45"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 xml:space="preserve">dagsläget planerar 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 xml:space="preserve">vi inte 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>att skriva något svar på remissen om avfallsplan?</w:t>
            </w:r>
          </w:p>
          <w:p w:rsidR="00E95CB5" w:rsidRDefault="001C4952">
            <w:pPr>
              <w:spacing w:before="12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Naturnätverket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– Py varit på möte och Lars Heinz har skickat ut förfrågan om 24 timmarslopp på Långängen i vår, men rådet tyckte det var olyckligt att det springs med tanke på alla småkryp, nyfödda djurungar och häck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ande fåglar kring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Kottlasjön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Bättre om det är i november. Titt-torn ska byggas vid Örnnästet. Evenemang tisdag 21/1 om fåglar.</w:t>
            </w:r>
          </w:p>
        </w:tc>
        <w:tc>
          <w:tcPr>
            <w:tcW w:w="1553" w:type="dxa"/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5CB5">
        <w:trPr>
          <w:trHeight w:val="1000"/>
        </w:trPr>
        <w:tc>
          <w:tcPr>
            <w:tcW w:w="501" w:type="dxa"/>
          </w:tcPr>
          <w:p w:rsidR="00E95CB5" w:rsidRDefault="001C495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664" w:type="dxa"/>
          </w:tcPr>
          <w:p w:rsidR="00E95CB5" w:rsidRDefault="001C4952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Rapport från grenarna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Pr="003F5991" w:rsidRDefault="001C49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F5991">
              <w:rPr>
                <w:rFonts w:ascii="Arial" w:eastAsia="Arial" w:hAnsi="Arial" w:cs="Arial"/>
                <w:b/>
                <w:sz w:val="22"/>
                <w:szCs w:val="22"/>
              </w:rPr>
              <w:t>Freeskiers</w:t>
            </w:r>
          </w:p>
          <w:p w:rsidR="00975F45" w:rsidRPr="003F5991" w:rsidRDefault="00975F45" w:rsidP="00975F45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F5991">
              <w:rPr>
                <w:rFonts w:ascii="Arial" w:hAnsi="Arial" w:cs="Arial"/>
                <w:color w:val="222222"/>
                <w:sz w:val="22"/>
                <w:szCs w:val="22"/>
              </w:rPr>
              <w:t xml:space="preserve">Har god tillgång på tränare. Oklart med verksamheten i backen </w:t>
            </w:r>
            <w:proofErr w:type="spellStart"/>
            <w:r w:rsidRPr="003F5991">
              <w:rPr>
                <w:rFonts w:ascii="Arial" w:hAnsi="Arial" w:cs="Arial"/>
                <w:color w:val="222222"/>
                <w:sz w:val="22"/>
                <w:szCs w:val="22"/>
              </w:rPr>
              <w:t>pga</w:t>
            </w:r>
            <w:proofErr w:type="spellEnd"/>
            <w:r w:rsidRPr="003F5991">
              <w:rPr>
                <w:rFonts w:ascii="Arial" w:hAnsi="Arial" w:cs="Arial"/>
                <w:color w:val="222222"/>
                <w:sz w:val="22"/>
                <w:szCs w:val="22"/>
              </w:rPr>
              <w:t xml:space="preserve"> snöbrist. Planering av alternativ pågår. </w:t>
            </w:r>
          </w:p>
          <w:p w:rsidR="00975F45" w:rsidRDefault="00975F45" w:rsidP="00975F45"/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Vandring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Styrelsen utser </w:t>
            </w:r>
            <w:r w:rsidR="00975F45">
              <w:rPr>
                <w:rFonts w:ascii="Arial" w:eastAsia="Arial" w:hAnsi="Arial" w:cs="Arial"/>
                <w:sz w:val="22"/>
                <w:szCs w:val="22"/>
              </w:rPr>
              <w:t>Bo Forsberg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och Tina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alander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till  grenledare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. Ny ledare på ingång. 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Äventyrliga vuxna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Grenen tar en paus på grund av bristande intresse.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Kajak</w:t>
            </w:r>
          </w:p>
          <w:p w:rsidR="00E95CB5" w:rsidRPr="00975F45" w:rsidRDefault="00975F4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975F45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Ingen rapport.</w:t>
            </w:r>
          </w:p>
          <w:p w:rsidR="00E95CB5" w:rsidRDefault="00E95CB5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  <w:p w:rsidR="00E95CB5" w:rsidRDefault="001C49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MTB</w:t>
            </w:r>
          </w:p>
          <w:p w:rsidR="00E95CB5" w:rsidRDefault="001C4952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 grenledare</w:t>
            </w:r>
            <w:r w:rsidR="00975F45">
              <w:rPr>
                <w:rFonts w:ascii="Arial" w:eastAsia="Arial" w:hAnsi="Arial" w:cs="Arial"/>
                <w:sz w:val="22"/>
                <w:szCs w:val="22"/>
              </w:rPr>
              <w:t xml:space="preserve"> diskuteras.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Vattengymnastik</w:t>
            </w:r>
          </w:p>
          <w:p w:rsidR="00975F45" w:rsidRDefault="001C4952" w:rsidP="00975F45"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Vårens tider är bokade till april, 14 ggr/termin. 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>Eftersom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>det s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>akna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 xml:space="preserve">s </w:t>
            </w:r>
            <w:proofErr w:type="gramStart"/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 xml:space="preserve">grenledare  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>har</w:t>
            </w:r>
            <w:proofErr w:type="gramEnd"/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 xml:space="preserve"> Elisabet </w:t>
            </w:r>
            <w:r w:rsidR="00975F45">
              <w:rPr>
                <w:rFonts w:ascii="Arial" w:hAnsi="Arial" w:cs="Arial"/>
                <w:color w:val="222222"/>
                <w:shd w:val="clear" w:color="auto" w:fill="FFFFFF"/>
              </w:rPr>
              <w:t>fått i uppdrag att rapportera till styrelsen hur vattengympan funkar den här terminen. 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Fjäll</w:t>
            </w:r>
          </w:p>
          <w:p w:rsidR="00E95CB5" w:rsidRDefault="001C4952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Stugtur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planerad till Jämtlandsfjällen i april.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Pr="00975F45" w:rsidRDefault="001C4952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75F4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Strövare/Frilufsare/TVM:</w:t>
            </w:r>
          </w:p>
          <w:p w:rsidR="00E95CB5" w:rsidRPr="00975F45" w:rsidRDefault="00975F4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75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Ingen rapport.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Skridsko</w:t>
            </w: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Styrelsen utser Henrik Engberg och Lars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Agö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till grenledare.</w:t>
            </w:r>
          </w:p>
          <w:p w:rsidR="00975F45" w:rsidRDefault="00975F45" w:rsidP="00975F45">
            <w:r>
              <w:rPr>
                <w:rFonts w:ascii="Arial" w:hAnsi="Arial" w:cs="Arial"/>
                <w:color w:val="222222"/>
                <w:shd w:val="clear" w:color="auto" w:fill="FFFFFF"/>
              </w:rPr>
              <w:t>Nybörjarkursen pågår</w:t>
            </w: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Teknikträning nästa vecka på Östermalm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18. </w:t>
            </w: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Patrik utbildar sig till ledare. </w:t>
            </w:r>
          </w:p>
          <w:p w:rsidR="00E95CB5" w:rsidRDefault="00E95CB5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75F45" w:rsidRPr="00975F45" w:rsidRDefault="001C4952" w:rsidP="00975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 Ur och Skur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Pr="00975F45">
              <w:rPr>
                <w:rFonts w:ascii="Arial" w:eastAsia="Arial" w:hAnsi="Arial" w:cs="Arial"/>
                <w:sz w:val="22"/>
                <w:szCs w:val="22"/>
              </w:rPr>
              <w:t>Ny</w:t>
            </w:r>
            <w:r w:rsidR="00975F45" w:rsidRPr="00975F4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75F45">
              <w:rPr>
                <w:rFonts w:ascii="Arial" w:eastAsia="Arial" w:hAnsi="Arial" w:cs="Arial"/>
                <w:sz w:val="22"/>
                <w:szCs w:val="22"/>
              </w:rPr>
              <w:t xml:space="preserve"> rektor</w:t>
            </w:r>
            <w:r w:rsidR="00975F45" w:rsidRPr="00975F45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975F45">
              <w:rPr>
                <w:rFonts w:ascii="Arial" w:eastAsia="Arial" w:hAnsi="Arial" w:cs="Arial"/>
                <w:sz w:val="22"/>
                <w:szCs w:val="22"/>
              </w:rPr>
              <w:t xml:space="preserve"> på Utsikten, </w:t>
            </w:r>
            <w:r w:rsidR="00975F45" w:rsidRPr="00975F45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Cecilia (Cia) Bolinder</w:t>
            </w:r>
          </w:p>
          <w:p w:rsidR="00E95CB5" w:rsidRPr="00975F45" w:rsidRDefault="001C4952" w:rsidP="00975F45">
            <w:pPr>
              <w:rPr>
                <w:rFonts w:ascii="Arial" w:hAnsi="Arial" w:cs="Arial"/>
                <w:sz w:val="22"/>
                <w:szCs w:val="22"/>
              </w:rPr>
            </w:pPr>
            <w:r w:rsidRPr="00975F45">
              <w:rPr>
                <w:rFonts w:ascii="Arial" w:eastAsia="Arial" w:hAnsi="Arial" w:cs="Arial"/>
                <w:sz w:val="22"/>
                <w:szCs w:val="22"/>
              </w:rPr>
              <w:t xml:space="preserve">(skolan) och </w:t>
            </w:r>
            <w:r w:rsidR="00975F45" w:rsidRPr="00975F45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Annelie Åsander</w:t>
            </w:r>
            <w:r w:rsidR="00975F45" w:rsidRPr="00975F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5F45">
              <w:rPr>
                <w:rFonts w:ascii="Arial" w:eastAsia="Arial" w:hAnsi="Arial" w:cs="Arial"/>
                <w:sz w:val="22"/>
                <w:szCs w:val="22"/>
              </w:rPr>
              <w:t>(förskolan)</w:t>
            </w:r>
            <w:r w:rsidR="00975F4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5CB5">
        <w:trPr>
          <w:trHeight w:val="1340"/>
        </w:trPr>
        <w:tc>
          <w:tcPr>
            <w:tcW w:w="501" w:type="dxa"/>
            <w:tcBorders>
              <w:bottom w:val="single" w:sz="4" w:space="0" w:color="000000"/>
            </w:tcBorders>
          </w:tcPr>
          <w:p w:rsidR="00E95CB5" w:rsidRDefault="003F5991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E95CB5" w:rsidRDefault="001C495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Ledarvård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Aktivitet “prova på”: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Södergarn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onsdag den 22 april, KL. 18:30-20:30, Cykling en timme sedan korvgrillning. David Elmfeldt (MTB) bjuds in honom till nästa ledarvårdsmöte för mer information om upplägget, cyklar mm.</w:t>
            </w:r>
          </w:p>
          <w:p w:rsidR="00E95CB5" w:rsidRDefault="001C4952">
            <w:pPr>
              <w:spacing w:before="12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Gemensam aktivitet: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Hustegaholm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måndag den 15 juni ca 17:30-20:30, samma upplägg som förra året. </w:t>
            </w:r>
          </w:p>
          <w:p w:rsidR="00E95CB5" w:rsidRDefault="001C4952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Utbildning: </w:t>
            </w:r>
            <w:r>
              <w:rPr>
                <w:rFonts w:ascii="Arial" w:eastAsia="Arial" w:hAnsi="Arial" w:cs="Arial"/>
                <w:sz w:val="22"/>
                <w:szCs w:val="22"/>
              </w:rPr>
              <w:t>HLR bokas till oktober.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:rsidR="00E95CB5" w:rsidRDefault="001C4952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Inspiration: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Utvärdering av Civilförsvarsförbundet, Tina Norden</w:t>
            </w:r>
            <w:proofErr w:type="gram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:  “</w:t>
            </w:r>
            <w:proofErr w:type="spellStart"/>
            <w:proofErr w:type="gram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Prepping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” (Hemberedskap) 3 december 2019 tillsammans med Äventyrliga vuxna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på Utsikten:  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Bra uppslutning med 8 ledare/styrelse från FF och resten från Äventyrliga vuxna som höll i arrangemanget.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E95CB5">
        <w:trPr>
          <w:trHeight w:val="1340"/>
        </w:trPr>
        <w:tc>
          <w:tcPr>
            <w:tcW w:w="501" w:type="dxa"/>
            <w:tcBorders>
              <w:bottom w:val="single" w:sz="4" w:space="0" w:color="000000"/>
            </w:tcBorders>
          </w:tcPr>
          <w:p w:rsidR="00E95CB5" w:rsidRDefault="003F5991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E95CB5" w:rsidRDefault="001C4952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Övriga frågor:</w:t>
            </w:r>
          </w:p>
          <w:p w:rsidR="00E95CB5" w:rsidRDefault="001C4952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Valberedningen: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Just nu sju personer i styrelsen. Alternativet är att bara välja sex övriga ledamöter och sen ha en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suppleant. Styrelsen föreslår Annika Bruno Knutsson, Christian Gottlieb och Lars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Agö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som valberedning nästa mandatperiod. </w:t>
            </w:r>
          </w:p>
          <w:p w:rsidR="00E95CB5" w:rsidRDefault="00E95C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Årsmöte: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söndag den 15 mars 17:00. 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Ordförande? Fler verksamhetsplaner behöver komma in.</w:t>
            </w:r>
          </w:p>
          <w:p w:rsidR="00E95CB5" w:rsidRDefault="00E95C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Kommunikation/Programbladet: </w:t>
            </w:r>
          </w:p>
          <w:p w:rsidR="00E95CB5" w:rsidRDefault="001C49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Annika BK och Nina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E95CB5" w:rsidRDefault="00E95CB5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E95CB5">
        <w:tc>
          <w:tcPr>
            <w:tcW w:w="501" w:type="dxa"/>
            <w:tcBorders>
              <w:bottom w:val="single" w:sz="4" w:space="0" w:color="000000"/>
            </w:tcBorders>
          </w:tcPr>
          <w:p w:rsidR="00E95CB5" w:rsidRDefault="001C495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3F5991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64" w:type="dxa"/>
            <w:tcBorders>
              <w:bottom w:val="single" w:sz="4" w:space="0" w:color="000000"/>
            </w:tcBorders>
          </w:tcPr>
          <w:p w:rsidR="00E95CB5" w:rsidRDefault="001C4952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Mötet avslutas samt nästa möte</w:t>
            </w:r>
          </w:p>
          <w:p w:rsidR="00E95CB5" w:rsidRDefault="001C4952">
            <w:pPr>
              <w:spacing w:before="240"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Måndag 17 februari </w:t>
            </w:r>
            <w:r w:rsidR="00975F45"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v 8</w:t>
            </w:r>
            <w:r w:rsidR="00975F45">
              <w:rPr>
                <w:rFonts w:ascii="Arial" w:eastAsia="Arial" w:hAnsi="Arial" w:cs="Arial"/>
                <w:sz w:val="22"/>
                <w:szCs w:val="22"/>
              </w:rPr>
              <w:t>), k</w:t>
            </w:r>
            <w:proofErr w:type="spellStart"/>
            <w:r w:rsidR="00975F45"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 w:rsidR="00975F45">
              <w:rPr>
                <w:rFonts w:ascii="Arial" w:eastAsia="Arial" w:hAnsi="Arial" w:cs="Arial"/>
                <w:sz w:val="22"/>
                <w:szCs w:val="22"/>
              </w:rPr>
              <w:t xml:space="preserve"> 19:00.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95CB5" w:rsidRDefault="00E95CB5">
      <w:pPr>
        <w:rPr>
          <w:rFonts w:ascii="Arial" w:eastAsia="Arial" w:hAnsi="Arial" w:cs="Arial"/>
          <w:sz w:val="22"/>
          <w:szCs w:val="22"/>
        </w:rPr>
      </w:pPr>
    </w:p>
    <w:p w:rsidR="00E95CB5" w:rsidRDefault="00E95CB5">
      <w:pPr>
        <w:rPr>
          <w:rFonts w:ascii="Arial" w:eastAsia="Arial" w:hAnsi="Arial" w:cs="Arial"/>
          <w:sz w:val="22"/>
          <w:szCs w:val="22"/>
        </w:rPr>
      </w:pPr>
    </w:p>
    <w:p w:rsidR="00E95CB5" w:rsidRDefault="00E95CB5"/>
    <w:tbl>
      <w:tblPr>
        <w:tblStyle w:val="a2"/>
        <w:tblW w:w="8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6664"/>
        <w:gridCol w:w="1553"/>
      </w:tblGrid>
      <w:tr w:rsidR="00E95CB5">
        <w:trPr>
          <w:trHeight w:val="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95CB5" w:rsidRDefault="00E95CB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95CB5" w:rsidRDefault="00E95CB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95CB5" w:rsidRDefault="001C495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Vid protokollet: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                  Ordförande: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</w:t>
            </w: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Annika Bruno Knutsson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                               Patrik Blomquist</w:t>
            </w: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1" w:name="_heading=h.gjdgxs" w:colFirst="0" w:colLast="0"/>
            <w:bookmarkEnd w:id="1"/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Justeras: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  <w:t xml:space="preserve">                                 Justeras: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E95CB5" w:rsidRDefault="001C495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Elisabet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Holtz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                                                        Py Dalaryd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5CB5">
        <w:trPr>
          <w:trHeight w:val="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95CB5" w:rsidRDefault="00E95CB5">
            <w:pP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95CB5" w:rsidRDefault="00E95C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5CB5" w:rsidRDefault="00E95C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95CB5" w:rsidRDefault="00E95CB5">
      <w:pPr>
        <w:rPr>
          <w:sz w:val="22"/>
          <w:szCs w:val="22"/>
        </w:rPr>
        <w:sectPr w:rsidR="00E95C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983" w:bottom="1417" w:left="1417" w:header="720" w:footer="720" w:gutter="0"/>
          <w:pgNumType w:start="1"/>
          <w:cols w:space="720" w:equalWidth="0">
            <w:col w:w="9406"/>
          </w:cols>
        </w:sectPr>
      </w:pPr>
    </w:p>
    <w:p w:rsidR="00E95CB5" w:rsidRDefault="00E95CB5">
      <w:pPr>
        <w:rPr>
          <w:rFonts w:ascii="Arial" w:eastAsia="Arial" w:hAnsi="Arial" w:cs="Arial"/>
          <w:b/>
          <w:sz w:val="22"/>
          <w:szCs w:val="22"/>
        </w:rPr>
      </w:pPr>
    </w:p>
    <w:p w:rsidR="00E95CB5" w:rsidRDefault="00E95CB5">
      <w:pPr>
        <w:rPr>
          <w:rFonts w:ascii="Arial" w:eastAsia="Arial" w:hAnsi="Arial" w:cs="Arial"/>
          <w:b/>
          <w:sz w:val="22"/>
          <w:szCs w:val="22"/>
        </w:rPr>
      </w:pPr>
    </w:p>
    <w:p w:rsidR="00E95CB5" w:rsidRDefault="00E95CB5">
      <w:pPr>
        <w:rPr>
          <w:rFonts w:ascii="Arial" w:eastAsia="Arial" w:hAnsi="Arial" w:cs="Arial"/>
          <w:b/>
          <w:sz w:val="22"/>
          <w:szCs w:val="22"/>
        </w:rPr>
      </w:pPr>
    </w:p>
    <w:p w:rsidR="00E95CB5" w:rsidRDefault="00E95CB5">
      <w:pPr>
        <w:rPr>
          <w:rFonts w:ascii="Arial" w:eastAsia="Arial" w:hAnsi="Arial" w:cs="Arial"/>
          <w:b/>
          <w:sz w:val="22"/>
          <w:szCs w:val="22"/>
        </w:rPr>
      </w:pPr>
    </w:p>
    <w:p w:rsidR="00E95CB5" w:rsidRDefault="00E95CB5">
      <w:pPr>
        <w:rPr>
          <w:rFonts w:ascii="Arial" w:eastAsia="Arial" w:hAnsi="Arial" w:cs="Arial"/>
          <w:b/>
          <w:sz w:val="22"/>
          <w:szCs w:val="22"/>
        </w:rPr>
      </w:pPr>
    </w:p>
    <w:p w:rsidR="00E95CB5" w:rsidRDefault="00E95CB5">
      <w:pPr>
        <w:rPr>
          <w:rFonts w:ascii="Arial" w:eastAsia="Arial" w:hAnsi="Arial" w:cs="Arial"/>
          <w:b/>
          <w:sz w:val="22"/>
          <w:szCs w:val="22"/>
        </w:rPr>
      </w:pPr>
    </w:p>
    <w:p w:rsidR="00E95CB5" w:rsidRDefault="00E95CB5">
      <w:pPr>
        <w:rPr>
          <w:rFonts w:ascii="Arial" w:eastAsia="Arial" w:hAnsi="Arial" w:cs="Arial"/>
          <w:b/>
          <w:sz w:val="22"/>
          <w:szCs w:val="22"/>
        </w:rPr>
      </w:pPr>
    </w:p>
    <w:p w:rsidR="00E95CB5" w:rsidRDefault="00E95CB5">
      <w:pPr>
        <w:rPr>
          <w:rFonts w:ascii="Arial" w:eastAsia="Arial" w:hAnsi="Arial" w:cs="Arial"/>
          <w:b/>
          <w:sz w:val="22"/>
          <w:szCs w:val="22"/>
        </w:rPr>
      </w:pPr>
    </w:p>
    <w:sectPr w:rsidR="00E95CB5">
      <w:type w:val="continuous"/>
      <w:pgSz w:w="11906" w:h="16838"/>
      <w:pgMar w:top="1417" w:right="1983" w:bottom="1417" w:left="1417" w:header="720" w:footer="720" w:gutter="0"/>
      <w:cols w:num="2" w:space="720" w:equalWidth="0">
        <w:col w:w="3892" w:space="720"/>
        <w:col w:w="389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52" w:rsidRDefault="001C4952">
      <w:r>
        <w:separator/>
      </w:r>
    </w:p>
  </w:endnote>
  <w:endnote w:type="continuationSeparator" w:id="0">
    <w:p w:rsidR="001C4952" w:rsidRDefault="001C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E5" w:rsidRDefault="00DD0F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CB5" w:rsidRDefault="001C49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 w:rsidR="00975F45"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975F45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 w:rsidR="00975F45"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975F45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E95CB5" w:rsidRDefault="00E95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E5" w:rsidRDefault="00DD0F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52" w:rsidRDefault="001C4952">
      <w:r>
        <w:separator/>
      </w:r>
    </w:p>
  </w:footnote>
  <w:footnote w:type="continuationSeparator" w:id="0">
    <w:p w:rsidR="001C4952" w:rsidRDefault="001C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CB5" w:rsidRDefault="001C49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95CB5" w:rsidRDefault="00E95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CB5" w:rsidRDefault="001C495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1190993" cy="155911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color w:val="000000"/>
      </w:rPr>
      <w:tab/>
      <w:t xml:space="preserve">                               </w:t>
    </w:r>
    <w:r>
      <w:rPr>
        <w:rFonts w:ascii="Arial" w:eastAsia="Arial" w:hAnsi="Arial" w:cs="Arial"/>
        <w:b/>
        <w:color w:val="000000"/>
        <w:sz w:val="22"/>
        <w:szCs w:val="22"/>
      </w:rPr>
      <w:t xml:space="preserve">Styrelsemöte </w:t>
    </w:r>
    <w:r>
      <w:rPr>
        <w:rFonts w:ascii="Arial" w:eastAsia="Arial" w:hAnsi="Arial" w:cs="Arial"/>
        <w:b/>
        <w:sz w:val="22"/>
        <w:szCs w:val="22"/>
      </w:rPr>
      <w:t>20</w:t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bookmarkStart w:id="2" w:name="_GoBack"/>
    <w:bookmarkEnd w:id="2"/>
    <w:r w:rsidR="00DD0FE5">
      <w:rPr>
        <w:rFonts w:ascii="Arial" w:eastAsia="Arial" w:hAnsi="Arial" w:cs="Arial"/>
        <w:b/>
        <w:sz w:val="22"/>
        <w:szCs w:val="22"/>
      </w:rPr>
      <w:t>januari</w:t>
    </w:r>
    <w:r>
      <w:rPr>
        <w:rFonts w:ascii="Arial" w:eastAsia="Arial" w:hAnsi="Arial" w:cs="Arial"/>
        <w:b/>
        <w:color w:val="000000"/>
        <w:sz w:val="22"/>
        <w:szCs w:val="22"/>
      </w:rPr>
      <w:t xml:space="preserve"> 20</w:t>
    </w:r>
    <w:r>
      <w:rPr>
        <w:rFonts w:ascii="Arial" w:eastAsia="Arial" w:hAnsi="Arial" w:cs="Arial"/>
        <w:b/>
        <w:sz w:val="22"/>
        <w:szCs w:val="22"/>
      </w:rPr>
      <w:t>20</w:t>
    </w:r>
  </w:p>
  <w:p w:rsidR="00E95CB5" w:rsidRDefault="001C495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Protokoll nr </w:t>
    </w:r>
    <w:r>
      <w:rPr>
        <w:rFonts w:ascii="Arial" w:eastAsia="Arial" w:hAnsi="Arial" w:cs="Arial"/>
        <w:b/>
        <w:sz w:val="22"/>
        <w:szCs w:val="22"/>
      </w:rPr>
      <w:t xml:space="preserve">9 </w:t>
    </w:r>
  </w:p>
  <w:p w:rsidR="00E95CB5" w:rsidRDefault="001C495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:rsidR="00E95CB5" w:rsidRDefault="001C4952">
    <w:pPr>
      <w:jc w:val="center"/>
      <w:rPr>
        <w:i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</w:t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 xml:space="preserve">Plats: </w:t>
    </w:r>
    <w:r>
      <w:rPr>
        <w:rFonts w:ascii="Arial" w:eastAsia="Arial" w:hAnsi="Arial" w:cs="Arial"/>
        <w:sz w:val="22"/>
        <w:szCs w:val="22"/>
      </w:rPr>
      <w:t>Föreningsgården</w:t>
    </w:r>
  </w:p>
  <w:p w:rsidR="00E95CB5" w:rsidRDefault="001C495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E5" w:rsidRDefault="00DD0F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66A"/>
    <w:multiLevelType w:val="multilevel"/>
    <w:tmpl w:val="365A6872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B5"/>
    <w:rsid w:val="001C4952"/>
    <w:rsid w:val="003F5991"/>
    <w:rsid w:val="00975F45"/>
    <w:rsid w:val="00C24984"/>
    <w:rsid w:val="00CA31DD"/>
    <w:rsid w:val="00DD0FE5"/>
    <w:rsid w:val="00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349DC"/>
  <w15:docId w15:val="{74430899-F708-4E47-AA95-D47AC8DC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uiPriority w:val="9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uiPriority w:val="9"/>
    <w:unhideWhenUsed/>
    <w:qFormat/>
    <w:rsid w:val="00195D9B"/>
    <w:pPr>
      <w:keepNext/>
      <w:outlineLvl w:val="1"/>
    </w:pPr>
    <w:rPr>
      <w:b/>
      <w:sz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gcB5nYCm0QlLod3+H23kqNONw==">AMUW2mU0IlhdaKRMbR3lUkeIX2ACaV3mR3nh40ynFX7UvV+nHmiV0h4BQTEr05frrsmyFcFDexo7Zr5dItmAsYc/iVEPQei3qnmtMeWr0VTVlc6G9DmyW85Mb6ZuC3LgxjvC7i7sRppB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 AB</dc:creator>
  <cp:lastModifiedBy>annika bruno</cp:lastModifiedBy>
  <cp:revision>3</cp:revision>
  <dcterms:created xsi:type="dcterms:W3CDTF">2020-01-22T06:20:00Z</dcterms:created>
  <dcterms:modified xsi:type="dcterms:W3CDTF">2020-01-22T06:21:00Z</dcterms:modified>
</cp:coreProperties>
</file>